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rPr>
      </w:pPr>
    </w:p>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半年度</w:t>
      </w:r>
      <w:r>
        <w:rPr>
          <w:rFonts w:hint="eastAsia"/>
          <w:sz w:val="36"/>
          <w:szCs w:val="36"/>
        </w:rPr>
        <w:t>招标项目</w:t>
      </w:r>
    </w:p>
    <w:p>
      <w:pPr>
        <w:jc w:val="center"/>
      </w:pPr>
    </w:p>
    <w:p>
      <w:pPr>
        <w:jc w:val="center"/>
      </w:pPr>
      <w:bookmarkStart w:id="1" w:name="_GoBack"/>
      <w:bookmarkEnd w:id="1"/>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ascii="宋体" w:hAnsi="宋体" w:cs="宋体"/>
          <w:b/>
          <w:bCs/>
          <w:sz w:val="44"/>
          <w:szCs w:val="44"/>
        </w:rPr>
      </w:pPr>
      <w:r>
        <w:rPr>
          <w:rFonts w:hint="eastAsia"/>
          <w:sz w:val="32"/>
          <w:szCs w:val="32"/>
        </w:rPr>
        <w:t>干强剂</w:t>
      </w: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32</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11"/>
        <w:ind w:left="5250"/>
      </w:pPr>
    </w:p>
    <w:p>
      <w:pPr>
        <w:pStyle w:val="11"/>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3</w:t>
      </w:r>
      <w:r>
        <w:rPr>
          <w:rFonts w:hint="eastAsia" w:ascii="宋体" w:hAnsi="宋体"/>
          <w:sz w:val="44"/>
          <w:szCs w:val="44"/>
        </w:rPr>
        <w:t>年</w:t>
      </w:r>
      <w:r>
        <w:rPr>
          <w:rFonts w:hint="eastAsia" w:ascii="宋体" w:hAnsi="宋体"/>
          <w:sz w:val="44"/>
          <w:szCs w:val="44"/>
          <w:lang w:val="en-US" w:eastAsia="zh-CN"/>
        </w:rPr>
        <w:t>11</w:t>
      </w:r>
      <w:r>
        <w:rPr>
          <w:rFonts w:hint="eastAsia" w:ascii="宋体" w:hAnsi="宋体"/>
          <w:sz w:val="44"/>
          <w:szCs w:val="44"/>
        </w:rPr>
        <w:t>月</w:t>
      </w:r>
    </w:p>
    <w:p/>
    <w:p>
      <w:pPr>
        <w:pStyle w:val="11"/>
      </w:pPr>
    </w:p>
    <w:p>
      <w:pPr>
        <w:pStyle w:val="11"/>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11"/>
        <w:ind w:left="5250"/>
        <w:rPr>
          <w:rFonts w:hint="eastAsia"/>
        </w:rPr>
      </w:pPr>
    </w:p>
    <w:p>
      <w:pPr>
        <w:pStyle w:val="11"/>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计划对化学品干强剂采购进行</w:t>
      </w:r>
      <w:r>
        <w:rPr>
          <w:rFonts w:hint="eastAsia" w:ascii="宋体" w:hAnsi="宋体"/>
          <w:sz w:val="24"/>
          <w:lang w:eastAsia="zh-CN"/>
        </w:rPr>
        <w:t>半年度</w:t>
      </w:r>
      <w:r>
        <w:rPr>
          <w:rFonts w:hint="eastAsia" w:ascii="宋体" w:hAnsi="宋体"/>
          <w:sz w:val="24"/>
        </w:rPr>
        <w:t>招标，欢迎有资质的公司参加投标。</w:t>
      </w:r>
    </w:p>
    <w:p>
      <w:pPr>
        <w:pStyle w:val="11"/>
        <w:numPr>
          <w:ilvl w:val="1"/>
          <w:numId w:val="2"/>
        </w:numPr>
        <w:ind w:left="675" w:leftChars="0" w:hanging="675" w:firstLineChars="0"/>
        <w:rPr>
          <w:rFonts w:hint="eastAsia"/>
          <w:sz w:val="28"/>
        </w:rPr>
      </w:pPr>
      <w:r>
        <w:rPr>
          <w:rFonts w:hint="eastAsia"/>
          <w:sz w:val="28"/>
        </w:rPr>
        <w:t>名称、规格及数量</w:t>
      </w:r>
    </w:p>
    <w:p>
      <w:pPr>
        <w:tabs>
          <w:tab w:val="left" w:pos="675"/>
        </w:tabs>
        <w:spacing w:line="360" w:lineRule="auto"/>
        <w:ind w:firstLine="480" w:firstLineChars="200"/>
        <w:rPr>
          <w:rFonts w:hint="eastAsia" w:ascii="宋体" w:hAnsi="宋体"/>
          <w:sz w:val="24"/>
        </w:rPr>
      </w:pPr>
      <w:r>
        <w:rPr>
          <w:rFonts w:hint="eastAsia" w:ascii="宋体" w:hAnsi="宋体"/>
          <w:sz w:val="24"/>
        </w:rPr>
        <w:t>1、干强剂：</w:t>
      </w:r>
    </w:p>
    <w:tbl>
      <w:tblPr>
        <w:tblStyle w:val="8"/>
        <w:tblW w:w="9209" w:type="dxa"/>
        <w:tblInd w:w="113" w:type="dxa"/>
        <w:tblLayout w:type="autofit"/>
        <w:tblCellMar>
          <w:top w:w="0" w:type="dxa"/>
          <w:left w:w="108" w:type="dxa"/>
          <w:bottom w:w="0" w:type="dxa"/>
          <w:right w:w="108" w:type="dxa"/>
        </w:tblCellMar>
      </w:tblPr>
      <w:tblGrid>
        <w:gridCol w:w="772"/>
        <w:gridCol w:w="2796"/>
        <w:gridCol w:w="1417"/>
        <w:gridCol w:w="1843"/>
        <w:gridCol w:w="2381"/>
      </w:tblGrid>
      <w:tr>
        <w:tblPrEx>
          <w:tblCellMar>
            <w:top w:w="0" w:type="dxa"/>
            <w:left w:w="108" w:type="dxa"/>
            <w:bottom w:w="0" w:type="dxa"/>
            <w:right w:w="108" w:type="dxa"/>
          </w:tblCellMar>
        </w:tblPrEx>
        <w:trPr>
          <w:trHeight w:val="590" w:hRule="exact"/>
        </w:trPr>
        <w:tc>
          <w:tcPr>
            <w:tcW w:w="77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序号</w:t>
            </w:r>
          </w:p>
        </w:tc>
        <w:tc>
          <w:tcPr>
            <w:tcW w:w="2796"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规格型号</w:t>
            </w:r>
          </w:p>
        </w:tc>
        <w:tc>
          <w:tcPr>
            <w:tcW w:w="1843"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数量</w:t>
            </w:r>
          </w:p>
        </w:tc>
        <w:tc>
          <w:tcPr>
            <w:tcW w:w="238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810" w:hRule="exact"/>
        </w:trPr>
        <w:tc>
          <w:tcPr>
            <w:tcW w:w="772"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1</w:t>
            </w:r>
          </w:p>
        </w:tc>
        <w:tc>
          <w:tcPr>
            <w:tcW w:w="2796" w:type="dxa"/>
            <w:tcBorders>
              <w:top w:val="nil"/>
              <w:left w:val="nil"/>
              <w:bottom w:val="single" w:color="auto" w:sz="4" w:space="0"/>
              <w:right w:val="single" w:color="auto" w:sz="4" w:space="0"/>
            </w:tcBorders>
            <w:vAlign w:val="center"/>
          </w:tcPr>
          <w:p>
            <w:pPr>
              <w:spacing w:line="360" w:lineRule="auto"/>
              <w:jc w:val="both"/>
              <w:rPr>
                <w:rFonts w:ascii="宋体" w:hAnsi="宋体" w:cs="宋体"/>
                <w:color w:val="000000"/>
                <w:sz w:val="24"/>
              </w:rPr>
            </w:pPr>
            <w:r>
              <w:rPr>
                <w:rFonts w:hint="eastAsia" w:ascii="宋体" w:hAnsi="宋体" w:cs="宋体"/>
                <w:color w:val="000000"/>
                <w:sz w:val="24"/>
              </w:rPr>
              <w:t>干强剂（1</w:t>
            </w:r>
            <w:r>
              <w:rPr>
                <w:rFonts w:ascii="宋体" w:hAnsi="宋体" w:cs="宋体"/>
                <w:color w:val="000000"/>
                <w:sz w:val="24"/>
              </w:rPr>
              <w:t>5</w:t>
            </w:r>
            <w:r>
              <w:rPr>
                <w:rFonts w:hint="eastAsia" w:ascii="宋体" w:hAnsi="宋体" w:cs="宋体"/>
                <w:color w:val="000000"/>
                <w:sz w:val="24"/>
              </w:rPr>
              <w:t>%固含量）</w:t>
            </w:r>
          </w:p>
        </w:tc>
        <w:tc>
          <w:tcPr>
            <w:tcW w:w="1417" w:type="dxa"/>
            <w:tcBorders>
              <w:top w:val="nil"/>
              <w:left w:val="nil"/>
              <w:bottom w:val="single" w:color="auto" w:sz="4" w:space="0"/>
              <w:right w:val="single" w:color="auto" w:sz="4" w:space="0"/>
            </w:tcBorders>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843" w:type="dxa"/>
            <w:tcBorders>
              <w:top w:val="nil"/>
              <w:left w:val="nil"/>
              <w:bottom w:val="single" w:color="auto" w:sz="4" w:space="0"/>
              <w:right w:val="single" w:color="auto" w:sz="4" w:space="0"/>
            </w:tcBorders>
            <w:vAlign w:val="center"/>
          </w:tcPr>
          <w:p>
            <w:pPr>
              <w:spacing w:line="360" w:lineRule="auto"/>
              <w:ind w:right="524" w:rightChars="0"/>
              <w:jc w:val="right"/>
              <w:rPr>
                <w:rFonts w:ascii="宋体" w:hAnsi="宋体" w:cs="宋体"/>
                <w:color w:val="000000"/>
                <w:kern w:val="0"/>
                <w:sz w:val="24"/>
                <w:lang w:bidi="ar"/>
              </w:rPr>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3000</w:t>
            </w:r>
            <w:r>
              <w:rPr>
                <w:rFonts w:hint="eastAsia" w:ascii="宋体" w:hAnsi="宋体" w:cs="宋体"/>
                <w:color w:val="000000"/>
                <w:kern w:val="0"/>
                <w:sz w:val="24"/>
                <w:lang w:bidi="ar"/>
              </w:rPr>
              <w:t>吨</w:t>
            </w:r>
          </w:p>
        </w:tc>
        <w:tc>
          <w:tcPr>
            <w:tcW w:w="2381" w:type="dxa"/>
            <w:tcBorders>
              <w:top w:val="nil"/>
              <w:left w:val="single" w:color="auto" w:sz="4" w:space="0"/>
              <w:bottom w:val="single" w:color="auto" w:sz="4" w:space="0"/>
              <w:right w:val="single" w:color="auto" w:sz="4" w:space="0"/>
            </w:tcBorders>
            <w:noWrap/>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eastAsia="zh-CN" w:bidi="ar"/>
              </w:rPr>
              <w:t>半年度</w:t>
            </w:r>
            <w:r>
              <w:rPr>
                <w:rFonts w:hint="eastAsia" w:ascii="宋体" w:hAnsi="宋体" w:cs="宋体"/>
                <w:color w:val="000000"/>
                <w:kern w:val="0"/>
                <w:sz w:val="24"/>
                <w:lang w:bidi="ar"/>
              </w:rPr>
              <w:t>用量</w:t>
            </w:r>
          </w:p>
        </w:tc>
      </w:tr>
      <w:tr>
        <w:tblPrEx>
          <w:tblCellMar>
            <w:top w:w="0" w:type="dxa"/>
            <w:left w:w="108" w:type="dxa"/>
            <w:bottom w:w="0" w:type="dxa"/>
            <w:right w:w="108" w:type="dxa"/>
          </w:tblCellMar>
        </w:tblPrEx>
        <w:trPr>
          <w:trHeight w:val="590" w:hRule="exact"/>
        </w:trPr>
        <w:tc>
          <w:tcPr>
            <w:tcW w:w="772"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2</w:t>
            </w:r>
          </w:p>
        </w:tc>
        <w:tc>
          <w:tcPr>
            <w:tcW w:w="2796" w:type="dxa"/>
            <w:tcBorders>
              <w:top w:val="nil"/>
              <w:left w:val="nil"/>
              <w:bottom w:val="single" w:color="auto" w:sz="4" w:space="0"/>
              <w:right w:val="single" w:color="auto" w:sz="4" w:space="0"/>
            </w:tcBorders>
            <w:vAlign w:val="center"/>
          </w:tcPr>
          <w:p>
            <w:pPr>
              <w:spacing w:line="360" w:lineRule="auto"/>
              <w:ind w:right="284"/>
              <w:jc w:val="center"/>
              <w:rPr>
                <w:szCs w:val="21"/>
              </w:rPr>
            </w:pPr>
            <w:r>
              <w:rPr>
                <w:rFonts w:hint="eastAsia" w:ascii="宋体" w:hAnsi="宋体" w:cs="宋体"/>
                <w:color w:val="000000"/>
                <w:sz w:val="24"/>
              </w:rPr>
              <w:t>干强剂（2</w:t>
            </w:r>
            <w:r>
              <w:rPr>
                <w:rFonts w:ascii="宋体" w:hAnsi="宋体" w:cs="宋体"/>
                <w:color w:val="000000"/>
                <w:sz w:val="24"/>
              </w:rPr>
              <w:t>0</w:t>
            </w:r>
            <w:r>
              <w:rPr>
                <w:rFonts w:hint="eastAsia" w:ascii="宋体" w:hAnsi="宋体" w:cs="宋体"/>
                <w:color w:val="000000"/>
                <w:sz w:val="24"/>
              </w:rPr>
              <w:t>%固含量）</w:t>
            </w:r>
          </w:p>
        </w:tc>
        <w:tc>
          <w:tcPr>
            <w:tcW w:w="1417" w:type="dxa"/>
            <w:tcBorders>
              <w:top w:val="nil"/>
              <w:left w:val="nil"/>
              <w:bottom w:val="single" w:color="auto" w:sz="4" w:space="0"/>
              <w:right w:val="single" w:color="auto" w:sz="4" w:space="0"/>
            </w:tcBorders>
            <w:vAlign w:val="center"/>
          </w:tcPr>
          <w:p>
            <w:pPr>
              <w:jc w:val="center"/>
              <w:rPr>
                <w:rFonts w:ascii="宋体" w:hAnsi="宋体"/>
                <w:sz w:val="24"/>
              </w:rPr>
            </w:pPr>
          </w:p>
        </w:tc>
        <w:tc>
          <w:tcPr>
            <w:tcW w:w="1843" w:type="dxa"/>
            <w:tcBorders>
              <w:top w:val="nil"/>
              <w:left w:val="nil"/>
              <w:bottom w:val="single" w:color="auto" w:sz="4" w:space="0"/>
              <w:right w:val="single" w:color="auto" w:sz="4" w:space="0"/>
            </w:tcBorders>
            <w:vAlign w:val="center"/>
          </w:tcPr>
          <w:p>
            <w:pPr>
              <w:spacing w:line="360" w:lineRule="auto"/>
              <w:ind w:right="284" w:rightChars="0"/>
              <w:jc w:val="both"/>
            </w:pPr>
            <w:r>
              <w:rPr>
                <w:rFonts w:hint="eastAsia" w:ascii="宋体" w:hAnsi="宋体" w:cs="宋体"/>
                <w:color w:val="000000"/>
                <w:kern w:val="0"/>
                <w:sz w:val="24"/>
                <w:lang w:bidi="ar"/>
              </w:rPr>
              <w:t>约</w:t>
            </w:r>
            <w:r>
              <w:rPr>
                <w:rFonts w:hint="eastAsia" w:ascii="宋体" w:hAnsi="宋体" w:cs="宋体"/>
                <w:color w:val="000000"/>
                <w:kern w:val="0"/>
                <w:sz w:val="24"/>
                <w:lang w:val="en-US" w:eastAsia="zh-CN" w:bidi="ar"/>
              </w:rPr>
              <w:t>7200</w:t>
            </w:r>
            <w:r>
              <w:rPr>
                <w:rFonts w:hint="eastAsia" w:ascii="宋体" w:hAnsi="宋体" w:cs="宋体"/>
                <w:color w:val="000000"/>
                <w:kern w:val="0"/>
                <w:sz w:val="24"/>
                <w:lang w:bidi="ar"/>
              </w:rPr>
              <w:t>吨</w:t>
            </w:r>
          </w:p>
        </w:tc>
        <w:tc>
          <w:tcPr>
            <w:tcW w:w="2381" w:type="dxa"/>
            <w:tcBorders>
              <w:top w:val="nil"/>
              <w:left w:val="single" w:color="auto" w:sz="4" w:space="0"/>
              <w:bottom w:val="single" w:color="auto" w:sz="4" w:space="0"/>
              <w:right w:val="single" w:color="auto" w:sz="4" w:space="0"/>
            </w:tcBorders>
            <w:noWrap/>
            <w:vAlign w:val="center"/>
          </w:tcPr>
          <w:p>
            <w:pPr>
              <w:rPr>
                <w:rFonts w:ascii="宋体" w:hAnsi="宋体"/>
                <w:sz w:val="24"/>
              </w:rPr>
            </w:pPr>
            <w:r>
              <w:rPr>
                <w:rFonts w:hint="eastAsia" w:ascii="宋体" w:hAnsi="宋体" w:cs="宋体"/>
                <w:color w:val="000000"/>
                <w:kern w:val="0"/>
                <w:sz w:val="24"/>
                <w:lang w:eastAsia="zh-CN" w:bidi="ar"/>
              </w:rPr>
              <w:t>半年度</w:t>
            </w:r>
            <w:r>
              <w:rPr>
                <w:rFonts w:hint="eastAsia" w:ascii="宋体" w:hAnsi="宋体" w:cs="宋体"/>
                <w:color w:val="000000"/>
                <w:kern w:val="0"/>
                <w:sz w:val="24"/>
                <w:lang w:bidi="ar"/>
              </w:rPr>
              <w:t>用量</w:t>
            </w:r>
          </w:p>
        </w:tc>
      </w:tr>
    </w:tbl>
    <w:p>
      <w:pPr>
        <w:spacing w:line="400" w:lineRule="exact"/>
        <w:ind w:firstLine="240" w:firstLineChars="100"/>
        <w:rPr>
          <w:rFonts w:ascii="宋体" w:hAnsi="宋体"/>
          <w:sz w:val="24"/>
        </w:rPr>
      </w:pPr>
      <w:r>
        <w:rPr>
          <w:rFonts w:hint="eastAsia" w:ascii="宋体" w:hAnsi="宋体"/>
          <w:sz w:val="24"/>
        </w:rPr>
        <w:t>干强剂技术要求：</w:t>
      </w:r>
    </w:p>
    <w:tbl>
      <w:tblPr>
        <w:tblStyle w:val="8"/>
        <w:tblW w:w="910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7"/>
        <w:gridCol w:w="3269"/>
        <w:gridCol w:w="3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777" w:type="dxa"/>
            <w:vMerge w:val="restart"/>
            <w:vAlign w:val="center"/>
          </w:tcPr>
          <w:p>
            <w:pPr>
              <w:jc w:val="center"/>
              <w:rPr>
                <w:rFonts w:ascii="宋体" w:hAnsi="宋体" w:cs="宋体"/>
                <w:kern w:val="0"/>
                <w:sz w:val="24"/>
              </w:rPr>
            </w:pPr>
            <w:r>
              <w:rPr>
                <w:rFonts w:hint="eastAsia" w:ascii="宋体" w:hAnsi="宋体" w:cs="宋体"/>
                <w:kern w:val="0"/>
                <w:sz w:val="24"/>
              </w:rPr>
              <w:t>项  目</w:t>
            </w:r>
          </w:p>
        </w:tc>
        <w:tc>
          <w:tcPr>
            <w:tcW w:w="6324" w:type="dxa"/>
            <w:gridSpan w:val="2"/>
            <w:vAlign w:val="center"/>
          </w:tcPr>
          <w:p>
            <w:pPr>
              <w:jc w:val="center"/>
              <w:rPr>
                <w:rFonts w:ascii="宋体" w:hAnsi="宋体" w:cs="宋体"/>
                <w:kern w:val="0"/>
                <w:sz w:val="24"/>
              </w:rPr>
            </w:pPr>
            <w:r>
              <w:rPr>
                <w:rFonts w:hint="eastAsia" w:ascii="宋体" w:hAnsi="宋体" w:cs="宋体"/>
                <w:kern w:val="0"/>
                <w:sz w:val="24"/>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777" w:type="dxa"/>
            <w:vMerge w:val="continue"/>
            <w:vAlign w:val="center"/>
          </w:tcPr>
          <w:p>
            <w:pPr>
              <w:rPr>
                <w:rFonts w:ascii="宋体" w:hAnsi="宋体" w:cs="宋体"/>
                <w:kern w:val="0"/>
                <w:sz w:val="24"/>
              </w:rPr>
            </w:pPr>
          </w:p>
        </w:tc>
        <w:tc>
          <w:tcPr>
            <w:tcW w:w="3269" w:type="dxa"/>
            <w:vAlign w:val="center"/>
          </w:tcPr>
          <w:p>
            <w:pPr>
              <w:jc w:val="center"/>
              <w:rPr>
                <w:rFonts w:ascii="宋体" w:hAnsi="宋体" w:cs="宋体"/>
                <w:kern w:val="0"/>
                <w:sz w:val="24"/>
              </w:rPr>
            </w:pPr>
            <w:r>
              <w:rPr>
                <w:rFonts w:hint="eastAsia" w:ascii="宋体" w:hAnsi="宋体" w:cs="宋体"/>
                <w:kern w:val="0"/>
                <w:sz w:val="24"/>
              </w:rPr>
              <w:t>15%固含量</w:t>
            </w:r>
          </w:p>
        </w:tc>
        <w:tc>
          <w:tcPr>
            <w:tcW w:w="3055" w:type="dxa"/>
            <w:vAlign w:val="center"/>
          </w:tcPr>
          <w:p>
            <w:pPr>
              <w:jc w:val="center"/>
              <w:rPr>
                <w:rFonts w:ascii="宋体" w:hAnsi="宋体" w:cs="宋体"/>
                <w:kern w:val="0"/>
                <w:sz w:val="24"/>
              </w:rPr>
            </w:pPr>
            <w:r>
              <w:rPr>
                <w:rFonts w:hint="eastAsia" w:ascii="宋体" w:hAnsi="宋体" w:cs="宋体"/>
                <w:kern w:val="0"/>
                <w:sz w:val="24"/>
              </w:rPr>
              <w:t>20%固含量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777" w:type="dxa"/>
            <w:vAlign w:val="center"/>
          </w:tcPr>
          <w:p>
            <w:pPr>
              <w:ind w:firstLine="840" w:firstLineChars="350"/>
              <w:rPr>
                <w:rFonts w:ascii="宋体" w:hAnsi="宋体" w:cs="宋体"/>
                <w:kern w:val="0"/>
                <w:sz w:val="24"/>
              </w:rPr>
            </w:pPr>
            <w:r>
              <w:rPr>
                <w:rFonts w:hint="eastAsia" w:ascii="宋体" w:hAnsi="宋体" w:cs="宋体"/>
                <w:kern w:val="0"/>
                <w:sz w:val="24"/>
              </w:rPr>
              <w:t>外  观</w:t>
            </w:r>
          </w:p>
        </w:tc>
        <w:tc>
          <w:tcPr>
            <w:tcW w:w="6324" w:type="dxa"/>
            <w:gridSpan w:val="2"/>
            <w:vAlign w:val="center"/>
          </w:tcPr>
          <w:p>
            <w:pPr>
              <w:jc w:val="center"/>
              <w:rPr>
                <w:rFonts w:ascii="宋体" w:hAnsi="宋体" w:cs="宋体"/>
                <w:kern w:val="0"/>
                <w:sz w:val="24"/>
              </w:rPr>
            </w:pPr>
            <w:r>
              <w:rPr>
                <w:rFonts w:hint="eastAsia" w:ascii="宋体" w:hAnsi="宋体"/>
                <w:sz w:val="24"/>
              </w:rPr>
              <w:t>澄清</w:t>
            </w:r>
            <w:r>
              <w:rPr>
                <w:rFonts w:hint="eastAsia" w:ascii="宋体" w:hAnsi="宋体" w:cs="宋体"/>
                <w:kern w:val="0"/>
                <w:sz w:val="24"/>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777" w:type="dxa"/>
            <w:vAlign w:val="center"/>
          </w:tcPr>
          <w:p>
            <w:pPr>
              <w:ind w:firstLine="960" w:firstLineChars="400"/>
              <w:rPr>
                <w:rFonts w:ascii="宋体" w:hAnsi="宋体" w:cs="宋体"/>
                <w:kern w:val="0"/>
                <w:sz w:val="24"/>
              </w:rPr>
            </w:pPr>
            <w:r>
              <w:rPr>
                <w:rFonts w:hint="eastAsia" w:ascii="宋体" w:hAnsi="宋体" w:cs="宋体"/>
                <w:kern w:val="0"/>
                <w:sz w:val="24"/>
              </w:rPr>
              <w:t>PH值</w:t>
            </w:r>
          </w:p>
        </w:tc>
        <w:tc>
          <w:tcPr>
            <w:tcW w:w="6324" w:type="dxa"/>
            <w:gridSpan w:val="2"/>
            <w:vAlign w:val="center"/>
          </w:tcPr>
          <w:p>
            <w:pPr>
              <w:jc w:val="center"/>
              <w:rPr>
                <w:rFonts w:ascii="宋体" w:hAnsi="宋体" w:cs="宋体"/>
                <w:kern w:val="0"/>
                <w:sz w:val="24"/>
              </w:rPr>
            </w:pPr>
            <w:r>
              <w:rPr>
                <w:rFonts w:hint="eastAsia" w:ascii="宋体" w:hAnsi="宋体" w:cs="宋体"/>
                <w:kern w:val="0"/>
                <w:sz w:val="24"/>
              </w:rPr>
              <w:t>3.0~5.0（按1%水溶液检测）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77" w:type="dxa"/>
            <w:vAlign w:val="center"/>
          </w:tcPr>
          <w:p>
            <w:pPr>
              <w:rPr>
                <w:rFonts w:ascii="宋体" w:hAnsi="宋体" w:cs="宋体"/>
                <w:kern w:val="0"/>
                <w:sz w:val="24"/>
              </w:rPr>
            </w:pPr>
            <w:r>
              <w:rPr>
                <w:rFonts w:hint="eastAsia" w:ascii="宋体" w:hAnsi="宋体" w:cs="宋体"/>
                <w:kern w:val="0"/>
                <w:sz w:val="24"/>
              </w:rPr>
              <w:t>粘度(25℃)（mPa·s）</w:t>
            </w:r>
          </w:p>
        </w:tc>
        <w:tc>
          <w:tcPr>
            <w:tcW w:w="6324" w:type="dxa"/>
            <w:gridSpan w:val="2"/>
            <w:vAlign w:val="center"/>
          </w:tcPr>
          <w:p>
            <w:pPr>
              <w:jc w:val="center"/>
              <w:rPr>
                <w:rFonts w:ascii="宋体" w:hAnsi="宋体" w:cs="宋体"/>
                <w:kern w:val="0"/>
                <w:sz w:val="24"/>
              </w:rPr>
            </w:pPr>
            <w:r>
              <w:rPr>
                <w:rFonts w:hint="eastAsia" w:ascii="宋体" w:hAnsi="宋体" w:cs="宋体"/>
                <w:kern w:val="0"/>
                <w:sz w:val="24"/>
              </w:rPr>
              <w:t>3000~15000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777" w:type="dxa"/>
            <w:vAlign w:val="center"/>
          </w:tcPr>
          <w:p>
            <w:pPr>
              <w:ind w:firstLine="720" w:firstLineChars="300"/>
              <w:rPr>
                <w:rFonts w:ascii="宋体" w:hAnsi="宋体" w:cs="宋体"/>
                <w:kern w:val="0"/>
                <w:sz w:val="24"/>
              </w:rPr>
            </w:pPr>
            <w:r>
              <w:rPr>
                <w:rFonts w:hint="eastAsia" w:ascii="宋体" w:hAnsi="宋体" w:cs="宋体"/>
                <w:kern w:val="0"/>
                <w:sz w:val="24"/>
              </w:rPr>
              <w:t>固含量（%）</w:t>
            </w:r>
          </w:p>
        </w:tc>
        <w:tc>
          <w:tcPr>
            <w:tcW w:w="3269" w:type="dxa"/>
            <w:vAlign w:val="center"/>
          </w:tcPr>
          <w:p>
            <w:pPr>
              <w:jc w:val="center"/>
              <w:rPr>
                <w:rFonts w:ascii="宋体" w:hAnsi="宋体" w:cs="宋体"/>
                <w:kern w:val="0"/>
                <w:sz w:val="24"/>
              </w:rPr>
            </w:pPr>
            <w:r>
              <w:rPr>
                <w:rFonts w:hint="eastAsia" w:ascii="宋体" w:hAnsi="宋体" w:cs="宋体"/>
                <w:kern w:val="0"/>
                <w:sz w:val="24"/>
              </w:rPr>
              <w:t>14.0-17.0</w:t>
            </w:r>
          </w:p>
        </w:tc>
        <w:tc>
          <w:tcPr>
            <w:tcW w:w="3055" w:type="dxa"/>
            <w:vAlign w:val="center"/>
          </w:tcPr>
          <w:p>
            <w:pPr>
              <w:jc w:val="center"/>
              <w:rPr>
                <w:rFonts w:ascii="宋体" w:hAnsi="宋体" w:cs="宋体"/>
                <w:kern w:val="0"/>
                <w:sz w:val="24"/>
              </w:rPr>
            </w:pPr>
            <w:r>
              <w:rPr>
                <w:rFonts w:hint="eastAsia" w:ascii="宋体" w:hAnsi="宋体" w:cs="宋体"/>
                <w:kern w:val="0"/>
                <w:sz w:val="24"/>
              </w:rPr>
              <w:t>19.0-22.0</w:t>
            </w:r>
          </w:p>
        </w:tc>
      </w:tr>
    </w:tbl>
    <w:p>
      <w:pPr>
        <w:ind w:firstLine="240" w:firstLineChars="100"/>
        <w:rPr>
          <w:sz w:val="24"/>
          <w:szCs w:val="24"/>
        </w:rPr>
      </w:pPr>
    </w:p>
    <w:p>
      <w:pPr>
        <w:pStyle w:val="11"/>
        <w:numPr>
          <w:ilvl w:val="0"/>
          <w:numId w:val="0"/>
        </w:numPr>
        <w:ind w:leftChars="0"/>
        <w:rPr>
          <w:rFonts w:hint="eastAsia"/>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7"/>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7"/>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eastAsia="宋体"/>
          <w:sz w:val="24"/>
          <w:lang w:eastAsia="zh-CN"/>
        </w:rPr>
      </w:pPr>
    </w:p>
    <w:p>
      <w:pPr>
        <w:pStyle w:val="11"/>
        <w:rPr>
          <w:rFonts w:hint="eastAsia"/>
          <w:lang w:eastAsia="zh-CN"/>
        </w:rPr>
      </w:pPr>
    </w:p>
    <w:p>
      <w:pPr>
        <w:pStyle w:val="11"/>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pStyle w:val="11"/>
        <w:ind w:left="0" w:leftChars="0" w:firstLine="0" w:firstLineChars="0"/>
        <w:rPr>
          <w:rFonts w:hint="eastAsia"/>
          <w:sz w:val="24"/>
        </w:rPr>
      </w:pPr>
    </w:p>
    <w:p>
      <w:pPr>
        <w:numPr>
          <w:ilvl w:val="0"/>
          <w:numId w:val="4"/>
        </w:numPr>
        <w:spacing w:line="360" w:lineRule="auto"/>
        <w:ind w:left="482" w:hanging="482"/>
        <w:rPr>
          <w:b/>
          <w:bCs/>
          <w:sz w:val="28"/>
        </w:rPr>
      </w:pPr>
      <w:r>
        <w:rPr>
          <w:rFonts w:hint="eastAsia"/>
          <w:b/>
          <w:bCs/>
          <w:sz w:val="28"/>
        </w:rPr>
        <w:t>附件</w:t>
      </w:r>
    </w:p>
    <w:p>
      <w:pPr>
        <w:pStyle w:val="2"/>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半年度</w:t>
      </w:r>
      <w:r>
        <w:rPr>
          <w:rFonts w:hint="eastAsia" w:ascii="楷体_GB2312"/>
          <w:sz w:val="24"/>
        </w:rPr>
        <w:t>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ind w:firstLine="540" w:firstLineChars="225"/>
        <w:rPr>
          <w:rFonts w:ascii="宋体" w:hAnsi="宋体"/>
          <w:sz w:val="24"/>
        </w:rPr>
      </w:pPr>
    </w:p>
    <w:p>
      <w:pPr>
        <w:tabs>
          <w:tab w:val="left" w:pos="0"/>
        </w:tabs>
        <w:spacing w:line="360" w:lineRule="auto"/>
        <w:ind w:firstLine="540" w:firstLineChars="225"/>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rPr>
          <w:rFonts w:hint="eastAsia"/>
        </w:rPr>
      </w:pPr>
    </w:p>
    <w:p>
      <w:pPr>
        <w:pStyle w:val="17"/>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2"/>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半年度</w:t>
      </w:r>
      <w:r>
        <w:rPr>
          <w:rFonts w:hint="eastAsia" w:ascii="宋体" w:hAnsi="宋体"/>
          <w:sz w:val="28"/>
          <w:szCs w:val="28"/>
        </w:rPr>
        <w:t>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11"/>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11"/>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11"/>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11"/>
        <w:ind w:left="5250"/>
      </w:pPr>
    </w:p>
    <w:p>
      <w:pPr>
        <w:pStyle w:val="11"/>
        <w:ind w:left="5250"/>
      </w:pPr>
    </w:p>
    <w:p>
      <w:pPr>
        <w:pStyle w:val="11"/>
        <w:ind w:left="5250"/>
      </w:pPr>
    </w:p>
    <w:p>
      <w:pPr>
        <w:pStyle w:val="11"/>
        <w:ind w:left="5250"/>
      </w:pPr>
    </w:p>
    <w:p>
      <w:pPr>
        <w:pStyle w:val="11"/>
        <w:ind w:left="5250"/>
      </w:pPr>
    </w:p>
    <w:p>
      <w:pPr>
        <w:pStyle w:val="11"/>
        <w:ind w:left="5250"/>
      </w:pPr>
    </w:p>
    <w:p>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11"/>
        <w:ind w:left="525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11"/>
        <w:ind w:left="5250"/>
      </w:pPr>
    </w:p>
    <w:sectPr>
      <w:pgSz w:w="11906" w:h="16838"/>
      <w:pgMar w:top="1440" w:right="96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2Nzc0OWU4NzdmNjEwNWQzZmEwYTc3ZTdiMTFmNDgifQ=="/>
  </w:docVars>
  <w:rsids>
    <w:rsidRoot w:val="00D94E7F"/>
    <w:rsid w:val="001C4898"/>
    <w:rsid w:val="002103A4"/>
    <w:rsid w:val="00292F40"/>
    <w:rsid w:val="002931B3"/>
    <w:rsid w:val="00385A92"/>
    <w:rsid w:val="003C7EA7"/>
    <w:rsid w:val="004859A7"/>
    <w:rsid w:val="0060726E"/>
    <w:rsid w:val="00617438"/>
    <w:rsid w:val="007B4734"/>
    <w:rsid w:val="00811445"/>
    <w:rsid w:val="008A1816"/>
    <w:rsid w:val="00947F3C"/>
    <w:rsid w:val="00997B25"/>
    <w:rsid w:val="00A07E3F"/>
    <w:rsid w:val="00A66744"/>
    <w:rsid w:val="00A715BB"/>
    <w:rsid w:val="00CA7249"/>
    <w:rsid w:val="00CD6508"/>
    <w:rsid w:val="00D94E7F"/>
    <w:rsid w:val="00E610DB"/>
    <w:rsid w:val="00F41CDE"/>
    <w:rsid w:val="00F42637"/>
    <w:rsid w:val="013D4115"/>
    <w:rsid w:val="014A7FD7"/>
    <w:rsid w:val="33051319"/>
    <w:rsid w:val="40D012FA"/>
    <w:rsid w:val="5B424CB4"/>
    <w:rsid w:val="72E53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6"/>
    <w:qFormat/>
    <w:uiPriority w:val="0"/>
    <w:pPr>
      <w:keepNext/>
      <w:keepLines/>
      <w:adjustRightInd w:val="0"/>
      <w:spacing w:before="280" w:after="290" w:line="376" w:lineRule="atLeast"/>
      <w:outlineLvl w:val="4"/>
    </w:pPr>
    <w:rPr>
      <w:rFonts w:eastAsia="楷体_GB2312"/>
      <w:b/>
      <w:kern w:val="0"/>
      <w:sz w:val="28"/>
      <w:szCs w:val="2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5"/>
    <w:qFormat/>
    <w:uiPriority w:val="0"/>
    <w:pPr>
      <w:ind w:left="100" w:leftChars="2500"/>
    </w:pPr>
    <w:rPr>
      <w:sz w:val="32"/>
    </w:rPr>
  </w:style>
  <w:style w:type="paragraph" w:styleId="4">
    <w:name w:val="Balloon Text"/>
    <w:basedOn w:val="1"/>
    <w:link w:val="14"/>
    <w:semiHidden/>
    <w:qFormat/>
    <w:uiPriority w:val="0"/>
    <w:rPr>
      <w:sz w:val="18"/>
      <w:szCs w:val="18"/>
    </w:rPr>
  </w:style>
  <w:style w:type="paragraph" w:styleId="5">
    <w:name w:val="footer"/>
    <w:basedOn w:val="1"/>
    <w:link w:val="13"/>
    <w:qFormat/>
    <w:uiPriority w:val="0"/>
    <w:pPr>
      <w:tabs>
        <w:tab w:val="center" w:pos="4153"/>
        <w:tab w:val="right" w:pos="8306"/>
      </w:tabs>
      <w:snapToGrid w:val="0"/>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spacing w:line="720" w:lineRule="auto"/>
      <w:jc w:val="both"/>
    </w:pPr>
    <w:rPr>
      <w:kern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四级标题"/>
    <w:basedOn w:val="3"/>
    <w:qFormat/>
    <w:uiPriority w:val="99"/>
    <w:rPr>
      <w:rFonts w:eastAsia="黑体"/>
    </w:rPr>
  </w:style>
  <w:style w:type="character" w:customStyle="1" w:styleId="12">
    <w:name w:val="页眉 字符"/>
    <w:link w:val="6"/>
    <w:qFormat/>
    <w:uiPriority w:val="0"/>
    <w:rPr>
      <w:rFonts w:ascii="Times New Roman" w:hAnsi="Times New Roman" w:eastAsia="宋体" w:cs="Times New Roman"/>
      <w:sz w:val="18"/>
      <w:szCs w:val="18"/>
    </w:rPr>
  </w:style>
  <w:style w:type="character" w:customStyle="1" w:styleId="13">
    <w:name w:val="页脚 字符"/>
    <w:link w:val="5"/>
    <w:qFormat/>
    <w:uiPriority w:val="0"/>
    <w:rPr>
      <w:rFonts w:ascii="Times New Roman" w:hAnsi="Times New Roman" w:eastAsia="宋体" w:cs="Times New Roman"/>
      <w:sz w:val="18"/>
      <w:szCs w:val="18"/>
    </w:rPr>
  </w:style>
  <w:style w:type="character" w:customStyle="1" w:styleId="14">
    <w:name w:val="批注框文本 字符"/>
    <w:basedOn w:val="10"/>
    <w:link w:val="4"/>
    <w:semiHidden/>
    <w:qFormat/>
    <w:uiPriority w:val="0"/>
    <w:rPr>
      <w:rFonts w:ascii="Times New Roman" w:hAnsi="Times New Roman" w:eastAsia="宋体" w:cs="Times New Roman"/>
      <w:sz w:val="18"/>
      <w:szCs w:val="18"/>
    </w:rPr>
  </w:style>
  <w:style w:type="character" w:customStyle="1" w:styleId="15">
    <w:name w:val="日期 字符"/>
    <w:basedOn w:val="10"/>
    <w:link w:val="3"/>
    <w:qFormat/>
    <w:uiPriority w:val="0"/>
    <w:rPr>
      <w:sz w:val="32"/>
      <w:szCs w:val="24"/>
    </w:rPr>
  </w:style>
  <w:style w:type="character" w:customStyle="1" w:styleId="16">
    <w:name w:val="标题 5 字符"/>
    <w:basedOn w:val="10"/>
    <w:link w:val="2"/>
    <w:qFormat/>
    <w:uiPriority w:val="0"/>
    <w:rPr>
      <w:rFonts w:eastAsia="楷体_GB2312"/>
      <w:b/>
      <w:kern w:val="0"/>
      <w:sz w:val="28"/>
    </w:rPr>
  </w:style>
  <w:style w:type="paragraph" w:customStyle="1" w:styleId="17">
    <w:name w:val="_Style 15"/>
    <w:basedOn w:val="1"/>
    <w:next w:val="1"/>
    <w:qFormat/>
    <w:uiPriority w:val="0"/>
    <w:pPr>
      <w:spacing w:line="360" w:lineRule="auto"/>
      <w:jc w:val="center"/>
    </w:pPr>
    <w:rPr>
      <w:rFonts w:ascii="楷体_GB2312" w:hAnsi="宋体" w:eastAsia="楷体_GB2312"/>
      <w:b/>
      <w:bCs/>
      <w:sz w:val="32"/>
      <w:szCs w:val="32"/>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2969</Words>
  <Characters>3746</Characters>
  <Lines>40</Lines>
  <Paragraphs>11</Paragraphs>
  <TotalTime>3</TotalTime>
  <ScaleCrop>false</ScaleCrop>
  <LinksUpToDate>false</LinksUpToDate>
  <CharactersWithSpaces>5043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2022-11-19T06:46:00Z</dcterms:created>
  <dc:creator>何雪纯</dc:creator>
  <cp:lastModifiedBy>柠檬and苦胆</cp:lastModifiedBy>
  <dcterms:modified xsi:type="dcterms:W3CDTF">2023-11-14T08:44:02Z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6A531F7EF0F24308A631265ADE0D2390</vt:lpwstr>
  </property>
</Properties>
</file>